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E" w:rsidRPr="00916992" w:rsidRDefault="00916992" w:rsidP="00916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69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Проект!</w:t>
      </w:r>
    </w:p>
    <w:p w:rsidR="00916992" w:rsidRDefault="00916992" w:rsidP="00C9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992" w:rsidRPr="00916992" w:rsidRDefault="00916992" w:rsidP="00C9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16AD" w:rsidRDefault="00A316AD" w:rsidP="00A3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6AD">
        <w:rPr>
          <w:rFonts w:ascii="Times New Roman" w:hAnsi="Times New Roman" w:cs="Times New Roman"/>
          <w:b/>
          <w:bCs/>
          <w:sz w:val="24"/>
          <w:szCs w:val="24"/>
        </w:rPr>
        <w:t>НАРЕДБА ЗА</w:t>
      </w:r>
      <w:r w:rsidRPr="00A316AD">
        <w:rPr>
          <w:rFonts w:ascii="Times New Roman" w:hAnsi="Times New Roman" w:cs="Times New Roman"/>
          <w:b/>
          <w:sz w:val="24"/>
          <w:szCs w:val="24"/>
        </w:rPr>
        <w:t xml:space="preserve"> ИЗМЕНЕНИЕ И ДОПЪЛНЕНИЕ НА НАРЕДБА №15 ЗА ОПРЕДЕЛЯНЕ РАЗМЕРА НА МЕСТНИТЕ ДАНЪЦИ НА ТЕРИТОРИЯТА НА ОБЩИНА ВЪЛЧЕДРЪМ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C2" w:rsidRDefault="00C93E31" w:rsidP="00A3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3E31">
        <w:rPr>
          <w:rFonts w:ascii="Times New Roman" w:hAnsi="Times New Roman" w:cs="Times New Roman"/>
          <w:i/>
          <w:sz w:val="24"/>
          <w:szCs w:val="24"/>
        </w:rPr>
        <w:t>(П</w:t>
      </w:r>
      <w:r w:rsidRPr="00C93E31">
        <w:rPr>
          <w:rFonts w:ascii="Times New Roman" w:hAnsi="Times New Roman" w:cs="Times New Roman"/>
          <w:i/>
          <w:sz w:val="24"/>
        </w:rPr>
        <w:t>риета на основание чл.21, ал.(2) от ЗМСМА, с решение № 23, протокол № 4 от 25.01.2008г. на Общински съвет гр.Вълчедръм, изм. и доп. с Решение № 139, протокол № 17/16.12.2008г., изм. с Решение № 213, протокол №29/11.12.2009г., изм. с Решение № 322, протокол № 44/31.01.2011г., доп. с Решение № 12, протокол № 4/16.12.2011г., изм. и доп. с Решение № 260, протокол № 34/24.01.2014 г., изм. и доп. с Решение № 295, протокол № 38/04.04.2014 г., изм. и доп. с Решение № 214, протокол № 23/25.05.2017г.)</w:t>
      </w:r>
    </w:p>
    <w:p w:rsidR="009D37C2" w:rsidRPr="009D37C2" w:rsidRDefault="009D37C2" w:rsidP="009D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2AC4" w:rsidRPr="000D32F4" w:rsidRDefault="00FE2F81" w:rsidP="0079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="00102AC4" w:rsidRPr="00102AC4">
        <w:rPr>
          <w:rFonts w:ascii="Times New Roman" w:hAnsi="Times New Roman" w:cs="Times New Roman"/>
          <w:sz w:val="24"/>
          <w:szCs w:val="24"/>
          <w:lang w:val="ru-RU"/>
        </w:rPr>
        <w:t>Разпоредбата на чл.</w:t>
      </w:r>
      <w:r w:rsidR="00102AC4" w:rsidRPr="000D32F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02AC4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</w:p>
    <w:p w:rsidR="00FE2F81" w:rsidRPr="00A53B98" w:rsidRDefault="00102AC4" w:rsidP="00A5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B98">
        <w:rPr>
          <w:rFonts w:ascii="Times New Roman" w:hAnsi="Times New Roman" w:cs="Times New Roman"/>
          <w:sz w:val="24"/>
          <w:szCs w:val="24"/>
        </w:rPr>
        <w:t>„</w:t>
      </w:r>
      <w:r w:rsidR="00D451D8" w:rsidRPr="00A53B98">
        <w:rPr>
          <w:rFonts w:ascii="Times New Roman" w:hAnsi="Times New Roman" w:cs="Times New Roman"/>
          <w:sz w:val="24"/>
          <w:szCs w:val="24"/>
        </w:rPr>
        <w:t>Д</w:t>
      </w:r>
      <w:r w:rsidR="00FE2F81" w:rsidRPr="00A53B98">
        <w:rPr>
          <w:rFonts w:ascii="Times New Roman" w:hAnsi="Times New Roman" w:cs="Times New Roman"/>
          <w:sz w:val="24"/>
          <w:szCs w:val="24"/>
        </w:rPr>
        <w:t>умите „сгради и поземлени имоти“ се заменят с „поземлени имоти, сгради и</w:t>
      </w:r>
      <w:r w:rsidR="00A7047D" w:rsidRPr="00A53B98">
        <w:rPr>
          <w:rFonts w:ascii="Times New Roman" w:hAnsi="Times New Roman" w:cs="Times New Roman"/>
          <w:sz w:val="24"/>
          <w:szCs w:val="24"/>
        </w:rPr>
        <w:t xml:space="preserve"> </w:t>
      </w:r>
      <w:r w:rsidR="00FE2F81" w:rsidRPr="00A53B98">
        <w:rPr>
          <w:rFonts w:ascii="Times New Roman" w:hAnsi="Times New Roman" w:cs="Times New Roman"/>
          <w:sz w:val="24"/>
          <w:szCs w:val="24"/>
        </w:rPr>
        <w:t>самостоятелни обекти в сгради“.</w:t>
      </w:r>
    </w:p>
    <w:p w:rsidR="009E58F1" w:rsidRDefault="00FE2F81" w:rsidP="00BD0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§2.</w:t>
      </w:r>
      <w:r w:rsidR="009E58F1" w:rsidRPr="009E5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>Разпоредбата на чл</w:t>
      </w:r>
      <w:r w:rsidR="009E58F1" w:rsidRPr="00A53B9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E58F1" w:rsidRPr="00A53B98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E2F81" w:rsidRPr="00A53B98" w:rsidRDefault="009E58F1" w:rsidP="00A5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451D8" w:rsidRPr="00A53B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2F81" w:rsidRPr="00A53B98">
        <w:rPr>
          <w:rFonts w:ascii="Times New Roman" w:hAnsi="Times New Roman" w:cs="Times New Roman"/>
          <w:color w:val="000000"/>
          <w:sz w:val="24"/>
          <w:szCs w:val="24"/>
        </w:rPr>
        <w:t>лед думите „вещно право“ се добавя „на ползване“.</w:t>
      </w:r>
    </w:p>
    <w:p w:rsidR="007965C0" w:rsidRDefault="00FE2F81" w:rsidP="00BD0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§3. </w:t>
      </w:r>
      <w:r w:rsidR="00C51565" w:rsidRPr="00C5156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965C0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 w:rsidR="007965C0" w:rsidRPr="00C51565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7965C0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r w:rsidR="00C51565">
        <w:rPr>
          <w:rFonts w:ascii="Times New Roman" w:hAnsi="Times New Roman" w:cs="Times New Roman"/>
          <w:sz w:val="24"/>
          <w:szCs w:val="24"/>
          <w:lang w:val="ru-RU"/>
        </w:rPr>
        <w:t>създава нова ал.3 със следния текст</w:t>
      </w:r>
      <w:r w:rsidR="007965C0" w:rsidRPr="00102AC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2F81" w:rsidRPr="00336660" w:rsidRDefault="007965C0" w:rsidP="00336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68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FE2F81" w:rsidRPr="00336660">
        <w:rPr>
          <w:rFonts w:ascii="Times New Roman" w:hAnsi="Times New Roman" w:cs="Times New Roman"/>
          <w:color w:val="000000"/>
          <w:sz w:val="24"/>
          <w:szCs w:val="24"/>
        </w:rPr>
        <w:t>В случай че е установено деклариране на повече от едно основно</w:t>
      </w:r>
      <w:r w:rsidR="00A7047D" w:rsidRPr="0033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336660">
        <w:rPr>
          <w:rFonts w:ascii="Times New Roman" w:hAnsi="Times New Roman" w:cs="Times New Roman"/>
          <w:color w:val="000000"/>
          <w:sz w:val="24"/>
          <w:szCs w:val="24"/>
        </w:rPr>
        <w:t>жилище, облекченията по ал.1 и ал.2 не се прилагат и данъкът определен по чл.15 се дължи в пълен</w:t>
      </w:r>
      <w:r w:rsidR="00A7047D" w:rsidRPr="0033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336660">
        <w:rPr>
          <w:rFonts w:ascii="Times New Roman" w:hAnsi="Times New Roman" w:cs="Times New Roman"/>
          <w:color w:val="000000"/>
          <w:sz w:val="24"/>
          <w:szCs w:val="24"/>
        </w:rPr>
        <w:t>размер за всяко жилище.“</w:t>
      </w:r>
    </w:p>
    <w:p w:rsidR="009E58F1" w:rsidRDefault="00FE2F81" w:rsidP="00BD0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§4. 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>Разпоредбата на чл.</w:t>
      </w:r>
      <w:r w:rsidR="009E58F1" w:rsidRPr="00336660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</w:p>
    <w:p w:rsidR="00FE2F81" w:rsidRPr="00E02768" w:rsidRDefault="00E02768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6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E64" w:rsidRPr="00E0276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осегашният текст става ал. 1;</w:t>
      </w:r>
    </w:p>
    <w:p w:rsidR="00FE2F81" w:rsidRPr="00E02768" w:rsidRDefault="00E02768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6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E64" w:rsidRPr="00E0276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ъздава се ал. 2:</w:t>
      </w:r>
      <w:r w:rsidR="005D6991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„(2) На основата на данъчната оценка, послужила за определяне на данъка по ал. 1, служителят</w:t>
      </w:r>
      <w:r w:rsidR="005D6991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в общинската администрация определя дължимия годишен данък и го съобщава на всеки</w:t>
      </w:r>
      <w:r w:rsidR="00A7047D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наследник или заветник.“</w:t>
      </w:r>
    </w:p>
    <w:p w:rsidR="009E58F1" w:rsidRDefault="00FE2F81" w:rsidP="00BD0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§5. 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>Разпоредбата на чл.</w:t>
      </w:r>
      <w:r w:rsidR="009E58F1" w:rsidRPr="009E5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58F1" w:rsidRPr="00BD0A7F">
        <w:rPr>
          <w:rFonts w:ascii="Times New Roman" w:hAnsi="Times New Roman" w:cs="Times New Roman"/>
          <w:bCs/>
          <w:color w:val="000000"/>
          <w:sz w:val="24"/>
          <w:szCs w:val="24"/>
        </w:rPr>
        <w:t>37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</w:p>
    <w:p w:rsidR="00FE2F81" w:rsidRPr="00E02768" w:rsidRDefault="00E02768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030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ал.2 думите „а в останалите случаи - в двумесечен срок от получаване на имуществото,</w:t>
      </w:r>
      <w:r w:rsidR="00A7047D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след подаване на декларация по чл. 49, ал.3 от Закона за местните данъци и такси.“ се заменят с</w:t>
      </w:r>
      <w:r w:rsidR="00A7047D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текста „а в случаите по чл. 44, ал. 3 от Закона за местните данъци и такси - към момента на</w:t>
      </w:r>
      <w:r w:rsidR="00A7047D" w:rsidRPr="00E0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издаване на акта, удостоверяващ правото на собственост, който подлежи на вписване.“</w:t>
      </w:r>
    </w:p>
    <w:p w:rsidR="00FE2F81" w:rsidRPr="00E02768" w:rsidRDefault="00E02768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71E64" w:rsidRPr="00E02768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FE2F81" w:rsidRPr="00E02768">
        <w:rPr>
          <w:rFonts w:ascii="Times New Roman" w:hAnsi="Times New Roman" w:cs="Times New Roman"/>
          <w:color w:val="000000"/>
          <w:sz w:val="24"/>
          <w:szCs w:val="24"/>
        </w:rPr>
        <w:t>.3 се отменя.</w:t>
      </w:r>
    </w:p>
    <w:p w:rsidR="009E58F1" w:rsidRDefault="00FE2F81" w:rsidP="006B1B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§6. 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>Разпоредбата на чл.</w:t>
      </w:r>
      <w:r w:rsidR="009E58F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9E58F1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</w:p>
    <w:p w:rsidR="001F040E" w:rsidRDefault="006B1BDE" w:rsidP="001F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r w:rsidR="001F040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.С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ъздава </w:t>
      </w:r>
      <w:r w:rsidR="008B7128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нова ал.1</w:t>
      </w:r>
      <w:r w:rsid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040E">
        <w:rPr>
          <w:rFonts w:ascii="Times New Roman" w:hAnsi="Times New Roman" w:cs="Times New Roman"/>
          <w:sz w:val="24"/>
          <w:szCs w:val="24"/>
          <w:lang w:val="ru-RU"/>
        </w:rPr>
        <w:t>със следния текст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27E3E" w:rsidRPr="001F0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7E3E" w:rsidRPr="001F040E" w:rsidRDefault="00E71E64" w:rsidP="001F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ал.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27E3E" w:rsidRPr="001F0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E3E" w:rsidRPr="001F040E">
        <w:rPr>
          <w:rFonts w:ascii="Times New Roman" w:hAnsi="Times New Roman" w:cs="Times New Roman"/>
          <w:sz w:val="24"/>
          <w:szCs w:val="24"/>
        </w:rPr>
        <w:t>Размерът на данъка се определя от служител на общинската администрация въз основа на данни от регистъра на пътните превозни средства, поддържан от Министерството на вътрешните работи, и се съобщава на данъчно задълженото лице.</w:t>
      </w:r>
    </w:p>
    <w:p w:rsidR="00800A46" w:rsidRDefault="006B1BDE" w:rsidP="006B1B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ІІ</w:t>
      </w:r>
      <w:r w:rsidR="00800A46" w:rsidRPr="003405AC">
        <w:rPr>
          <w:rFonts w:ascii="Times New Roman" w:hAnsi="Times New Roman" w:cs="Times New Roman"/>
          <w:bCs/>
          <w:color w:val="000000"/>
          <w:sz w:val="24"/>
          <w:szCs w:val="24"/>
        </w:rPr>
        <w:t>. С</w:t>
      </w:r>
      <w:r w:rsidR="00327E3E" w:rsidRPr="00340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ъздава </w:t>
      </w:r>
      <w:r w:rsidR="008B7128" w:rsidRPr="003405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</w:t>
      </w:r>
      <w:r w:rsidR="00327E3E" w:rsidRPr="003405AC">
        <w:rPr>
          <w:rFonts w:ascii="Times New Roman" w:hAnsi="Times New Roman" w:cs="Times New Roman"/>
          <w:bCs/>
          <w:color w:val="000000"/>
          <w:sz w:val="24"/>
          <w:szCs w:val="24"/>
        </w:rPr>
        <w:t>нова ал.2</w:t>
      </w:r>
      <w:r w:rsidR="001F0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040E">
        <w:rPr>
          <w:rFonts w:ascii="Times New Roman" w:hAnsi="Times New Roman" w:cs="Times New Roman"/>
          <w:sz w:val="24"/>
          <w:szCs w:val="24"/>
          <w:lang w:val="ru-RU"/>
        </w:rPr>
        <w:t>със следния текст</w:t>
      </w:r>
      <w:r w:rsidR="00327E3E" w:rsidRPr="001F0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27E3E" w:rsidRPr="001F040E" w:rsidRDefault="00E71E64" w:rsidP="00800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ал.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27E3E" w:rsidRPr="001F040E">
        <w:rPr>
          <w:rFonts w:ascii="Times New Roman" w:hAnsi="Times New Roman" w:cs="Times New Roman"/>
          <w:sz w:val="24"/>
          <w:szCs w:val="24"/>
        </w:rPr>
        <w:t xml:space="preserve"> Данните по ал. 1 се предоставят от Министерството на финансите на общините: </w:t>
      </w:r>
    </w:p>
    <w:p w:rsidR="00327E3E" w:rsidRPr="001F040E" w:rsidRDefault="00327E3E" w:rsidP="006B1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t>1. ежедневно –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средства, поддържан от 6 Министерството на</w:t>
      </w:r>
      <w:r w:rsidR="002C56C8" w:rsidRPr="001F040E">
        <w:rPr>
          <w:rFonts w:ascii="Times New Roman" w:hAnsi="Times New Roman" w:cs="Times New Roman"/>
          <w:sz w:val="24"/>
          <w:szCs w:val="24"/>
        </w:rPr>
        <w:t xml:space="preserve"> </w:t>
      </w:r>
      <w:r w:rsidRPr="001F040E">
        <w:rPr>
          <w:rFonts w:ascii="Times New Roman" w:hAnsi="Times New Roman" w:cs="Times New Roman"/>
          <w:sz w:val="24"/>
          <w:szCs w:val="24"/>
        </w:rPr>
        <w:t xml:space="preserve">вътрешните работи, или </w:t>
      </w:r>
    </w:p>
    <w:p w:rsidR="00327E3E" w:rsidRPr="001F040E" w:rsidRDefault="00327E3E" w:rsidP="006B1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t xml:space="preserve">2. ежемесечно – на електронен носител. </w:t>
      </w:r>
    </w:p>
    <w:p w:rsidR="006B1BDE" w:rsidRDefault="006B1BDE" w:rsidP="006B1B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BDE">
        <w:rPr>
          <w:rFonts w:ascii="Times New Roman" w:hAnsi="Times New Roman" w:cs="Times New Roman"/>
          <w:bCs/>
          <w:color w:val="000000"/>
          <w:sz w:val="24"/>
          <w:szCs w:val="24"/>
        </w:rPr>
        <w:t>ІІІ. С</w:t>
      </w:r>
      <w:r w:rsidR="00327E3E" w:rsidRPr="006B1BDE">
        <w:rPr>
          <w:rFonts w:ascii="Times New Roman" w:hAnsi="Times New Roman" w:cs="Times New Roman"/>
          <w:bCs/>
          <w:color w:val="000000"/>
          <w:sz w:val="24"/>
          <w:szCs w:val="24"/>
        </w:rPr>
        <w:t>ъздава нова ал.3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със следния текст</w:t>
      </w:r>
      <w:r w:rsidR="00327E3E" w:rsidRPr="001F0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27E3E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27E3E" w:rsidRPr="000D32F4" w:rsidRDefault="00327E3E" w:rsidP="006B1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2F4">
        <w:rPr>
          <w:rFonts w:ascii="Times New Roman" w:hAnsi="Times New Roman" w:cs="Times New Roman"/>
          <w:sz w:val="24"/>
          <w:szCs w:val="24"/>
        </w:rPr>
        <w:t xml:space="preserve">(3) Алинея 1 не се прилага, когато: </w:t>
      </w:r>
    </w:p>
    <w:p w:rsidR="00327E3E" w:rsidRPr="001F040E" w:rsidRDefault="00327E3E" w:rsidP="00A1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lastRenderedPageBreak/>
        <w:t xml:space="preserve">1. пътното превозно средство е придобито по наследство; </w:t>
      </w:r>
    </w:p>
    <w:p w:rsidR="00327E3E" w:rsidRPr="001F040E" w:rsidRDefault="00327E3E" w:rsidP="00A1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t xml:space="preserve">2. пътното превозно средство е собственост на повече от едно лице; </w:t>
      </w:r>
    </w:p>
    <w:p w:rsidR="00327E3E" w:rsidRPr="001F040E" w:rsidRDefault="00327E3E" w:rsidP="00A1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t xml:space="preserve">3.собственикът/собствениците на пътното превозно средство няма/нямат постоянен адрес, съответно седалище на територията на страната; </w:t>
      </w:r>
    </w:p>
    <w:p w:rsidR="00327E3E" w:rsidRPr="001F040E" w:rsidRDefault="00327E3E" w:rsidP="00A1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0E">
        <w:rPr>
          <w:rFonts w:ascii="Times New Roman" w:hAnsi="Times New Roman" w:cs="Times New Roman"/>
          <w:sz w:val="24"/>
          <w:szCs w:val="24"/>
        </w:rPr>
        <w:t>4. са налице основания за предявяване право на освобождаване от данък</w:t>
      </w:r>
      <w:r w:rsidR="00625F38" w:rsidRPr="001F040E">
        <w:rPr>
          <w:rFonts w:ascii="Times New Roman" w:hAnsi="Times New Roman" w:cs="Times New Roman"/>
          <w:sz w:val="24"/>
          <w:szCs w:val="24"/>
        </w:rPr>
        <w:t>.</w:t>
      </w:r>
    </w:p>
    <w:p w:rsidR="00327E3E" w:rsidRPr="001F040E" w:rsidRDefault="00A136DC" w:rsidP="00A136D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ІV. </w:t>
      </w:r>
      <w:r w:rsidR="002001EF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>Текст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ът</w:t>
      </w:r>
      <w:r w:rsidR="002001EF" w:rsidRPr="001F04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чл.40 става ал.4 на чл.40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062DC" w:rsidRPr="001F040E" w:rsidRDefault="008062DC" w:rsidP="008062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62DC" w:rsidRDefault="00847523" w:rsidP="008062DC">
      <w:pPr>
        <w:pStyle w:val="m"/>
        <w:spacing w:before="0" w:beforeAutospacing="0" w:after="0" w:afterAutospacing="0"/>
        <w:ind w:firstLine="708"/>
        <w:rPr>
          <w:b/>
          <w:bCs/>
        </w:rPr>
      </w:pPr>
      <w:r w:rsidRPr="001132DC">
        <w:rPr>
          <w:b/>
          <w:bCs/>
        </w:rPr>
        <w:t xml:space="preserve">§7. </w:t>
      </w:r>
      <w:r w:rsidR="008062DC" w:rsidRPr="00102AC4">
        <w:rPr>
          <w:lang w:val="ru-RU"/>
        </w:rPr>
        <w:t>Разпоредбата на чл.</w:t>
      </w:r>
      <w:r w:rsidR="008062DC">
        <w:rPr>
          <w:lang w:val="ru-RU"/>
        </w:rPr>
        <w:t>4</w:t>
      </w:r>
      <w:r w:rsidR="001127CC">
        <w:rPr>
          <w:lang w:val="ru-RU"/>
        </w:rPr>
        <w:t>1</w:t>
      </w:r>
      <w:r w:rsidR="008062DC" w:rsidRPr="00102AC4">
        <w:rPr>
          <w:lang w:val="ru-RU"/>
        </w:rPr>
        <w:t xml:space="preserve"> се изменя, както следва:</w:t>
      </w:r>
    </w:p>
    <w:p w:rsidR="0014040D" w:rsidRPr="00C9223C" w:rsidRDefault="00C9223C" w:rsidP="00C9223C">
      <w:pPr>
        <w:pStyle w:val="m"/>
        <w:spacing w:before="0" w:beforeAutospacing="0" w:after="0" w:afterAutospacing="0"/>
        <w:ind w:firstLine="708"/>
      </w:pPr>
      <w:r w:rsidRPr="00C9223C">
        <w:rPr>
          <w:rFonts w:eastAsia="PMingLiU"/>
          <w:bCs/>
          <w:lang w:eastAsia="zh-TW"/>
        </w:rPr>
        <w:t>І.</w:t>
      </w:r>
      <w:r>
        <w:rPr>
          <w:rFonts w:eastAsia="PMingLiU"/>
          <w:b/>
          <w:bCs/>
          <w:lang w:eastAsia="zh-TW"/>
        </w:rPr>
        <w:t xml:space="preserve"> </w:t>
      </w:r>
      <w:r w:rsidR="00613C89">
        <w:rPr>
          <w:rFonts w:eastAsia="PMingLiU"/>
          <w:bCs/>
          <w:lang w:eastAsia="zh-TW"/>
        </w:rPr>
        <w:t>В ал.</w:t>
      </w:r>
      <w:r w:rsidR="0014040D" w:rsidRPr="00C9223C">
        <w:rPr>
          <w:rFonts w:eastAsia="PMingLiU"/>
          <w:lang w:eastAsia="zh-TW"/>
        </w:rPr>
        <w:t>1</w:t>
      </w:r>
      <w:r w:rsidR="00613C89">
        <w:rPr>
          <w:rFonts w:eastAsia="PMingLiU"/>
          <w:lang w:eastAsia="zh-TW"/>
        </w:rPr>
        <w:t>.</w:t>
      </w:r>
      <w:r w:rsidR="00C143D9" w:rsidRPr="00C9223C">
        <w:t xml:space="preserve"> </w:t>
      </w:r>
      <w:r w:rsidR="0014040D" w:rsidRPr="00C9223C">
        <w:t>За леки и товарни автомобили с технически допустима максимална маса не повече от 3,5 т годишният данък се състои от два компонента – имуществен и екологичен, и се определя по следната формула:</w:t>
      </w:r>
    </w:p>
    <w:p w:rsidR="0014040D" w:rsidRPr="00C9223C" w:rsidRDefault="0014040D" w:rsidP="008062D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ГДПС = ИмК x ЕК,</w:t>
      </w:r>
    </w:p>
    <w:p w:rsidR="0014040D" w:rsidRPr="00C9223C" w:rsidRDefault="0014040D" w:rsidP="0080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където:</w:t>
      </w:r>
    </w:p>
    <w:p w:rsidR="0014040D" w:rsidRPr="00C9223C" w:rsidRDefault="0014040D" w:rsidP="0080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ГДПС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14040D" w:rsidRPr="00C9223C" w:rsidRDefault="0014040D" w:rsidP="0080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 xml:space="preserve">ИмК е имуществен компонент, който се определя по реда на т.1; </w:t>
      </w:r>
    </w:p>
    <w:p w:rsidR="0014040D" w:rsidRPr="00C9223C" w:rsidRDefault="0014040D" w:rsidP="0080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ЕК е екологичен компонент, който се определя по реда на т. 2</w:t>
      </w:r>
    </w:p>
    <w:p w:rsidR="0014040D" w:rsidRPr="00C9223C" w:rsidRDefault="0014040D" w:rsidP="00C9223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 xml:space="preserve">1. </w:t>
      </w:r>
      <w:r w:rsidR="00C9223C" w:rsidRPr="00C9223C">
        <w:rPr>
          <w:rFonts w:ascii="Times New Roman" w:hAnsi="Times New Roman" w:cs="Times New Roman"/>
          <w:sz w:val="24"/>
          <w:szCs w:val="24"/>
        </w:rPr>
        <w:t>И</w:t>
      </w:r>
      <w:r w:rsidRPr="00C9223C">
        <w:rPr>
          <w:rFonts w:ascii="Times New Roman" w:hAnsi="Times New Roman" w:cs="Times New Roman"/>
          <w:sz w:val="24"/>
          <w:szCs w:val="24"/>
        </w:rPr>
        <w:t>мущественият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14040D" w:rsidRPr="00C9223C" w:rsidRDefault="0014040D" w:rsidP="0080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ИмК = СkW x Кгп,</w:t>
      </w:r>
    </w:p>
    <w:p w:rsidR="0014040D" w:rsidRPr="00C9223C" w:rsidRDefault="0014040D" w:rsidP="0080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където:</w:t>
      </w:r>
    </w:p>
    <w:p w:rsidR="0014040D" w:rsidRPr="003A5AE8" w:rsidRDefault="0014040D" w:rsidP="0080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>СkW е частта от стойността на данъка в зависимост от мощността на двигателя, която се определя от мощността на двигателя и размера на данъка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>а) до 55 kW включително –  0,34  за 1 kW;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 xml:space="preserve">б) над 55 kW до 74 kW включително </w:t>
      </w:r>
      <w:r w:rsidR="003A5AE8">
        <w:rPr>
          <w:rFonts w:ascii="Times New Roman" w:hAnsi="Times New Roman" w:cs="Times New Roman"/>
          <w:sz w:val="24"/>
          <w:szCs w:val="24"/>
        </w:rPr>
        <w:t xml:space="preserve">   </w:t>
      </w:r>
      <w:r w:rsidRPr="003A5AE8">
        <w:rPr>
          <w:rFonts w:ascii="Times New Roman" w:hAnsi="Times New Roman" w:cs="Times New Roman"/>
          <w:sz w:val="24"/>
          <w:szCs w:val="24"/>
        </w:rPr>
        <w:t>–  0,54  за 1 kW;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 xml:space="preserve">в) над 74 kW до 110 kW включително </w:t>
      </w:r>
      <w:r w:rsidR="003A5AE8">
        <w:rPr>
          <w:rFonts w:ascii="Times New Roman" w:hAnsi="Times New Roman" w:cs="Times New Roman"/>
          <w:sz w:val="24"/>
          <w:szCs w:val="24"/>
        </w:rPr>
        <w:t xml:space="preserve"> </w:t>
      </w:r>
      <w:r w:rsidRPr="003A5AE8">
        <w:rPr>
          <w:rFonts w:ascii="Times New Roman" w:hAnsi="Times New Roman" w:cs="Times New Roman"/>
          <w:sz w:val="24"/>
          <w:szCs w:val="24"/>
        </w:rPr>
        <w:t>–  1,10  за 1 kW;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>г) над 110 kW до 150 kW включително –  1,23  за 1 kW;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 xml:space="preserve">д) над 150 kW до 245 kW включително – </w:t>
      </w:r>
      <w:r w:rsidR="003A5AE8">
        <w:rPr>
          <w:rFonts w:ascii="Times New Roman" w:hAnsi="Times New Roman" w:cs="Times New Roman"/>
          <w:sz w:val="24"/>
          <w:szCs w:val="24"/>
        </w:rPr>
        <w:t xml:space="preserve"> </w:t>
      </w:r>
      <w:r w:rsidRPr="003A5AE8">
        <w:rPr>
          <w:rFonts w:ascii="Times New Roman" w:hAnsi="Times New Roman" w:cs="Times New Roman"/>
          <w:sz w:val="24"/>
          <w:szCs w:val="24"/>
        </w:rPr>
        <w:t>1,60  за 1 kW;</w:t>
      </w:r>
    </w:p>
    <w:p w:rsidR="0014040D" w:rsidRPr="003A5AE8" w:rsidRDefault="0014040D" w:rsidP="00806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AE8">
        <w:rPr>
          <w:rFonts w:ascii="Times New Roman" w:hAnsi="Times New Roman" w:cs="Times New Roman"/>
          <w:sz w:val="24"/>
          <w:szCs w:val="24"/>
        </w:rPr>
        <w:t xml:space="preserve">е) над 245 kW –  2,10  за 1 kW; </w:t>
      </w:r>
    </w:p>
    <w:p w:rsidR="00327E3E" w:rsidRPr="00C9223C" w:rsidRDefault="0014040D" w:rsidP="00752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3C">
        <w:rPr>
          <w:rFonts w:ascii="Times New Roman" w:hAnsi="Times New Roman" w:cs="Times New Roman"/>
          <w:sz w:val="24"/>
          <w:szCs w:val="24"/>
        </w:rPr>
        <w:t>Кгп е коригиращ коефициент за годината на производство на автомобила в следните размери</w:t>
      </w:r>
    </w:p>
    <w:p w:rsidR="0014040D" w:rsidRPr="000A7476" w:rsidRDefault="0014040D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0EE" w:rsidRPr="000A7476" w:rsidRDefault="002730EE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4A8" w:rsidRPr="001132DC" w:rsidRDefault="00D154A8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701"/>
      </w:tblGrid>
      <w:tr w:rsidR="0014040D" w:rsidRPr="00806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062DC" w:rsidRDefault="0014040D" w:rsidP="00F041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DC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062DC" w:rsidRDefault="0014040D" w:rsidP="00F041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DC">
              <w:rPr>
                <w:rFonts w:ascii="Times New Roman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14040D" w:rsidRPr="00113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Над 20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8062D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4040D" w:rsidRPr="00113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Над 15 до 20 години включително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8062D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2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40D" w:rsidRPr="00113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Над 10 до 15 години включително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8062D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4040D" w:rsidRPr="00113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Над 5 до 10 години включително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8062D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4040D" w:rsidRPr="001132DC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До 5 години включително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132DC" w:rsidRDefault="0014040D" w:rsidP="008062D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2D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14040D" w:rsidRDefault="0014040D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4040D" w:rsidRPr="000E65A5" w:rsidRDefault="0014040D" w:rsidP="000E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A5">
        <w:rPr>
          <w:rFonts w:ascii="Times New Roman" w:hAnsi="Times New Roman" w:cs="Times New Roman"/>
          <w:sz w:val="24"/>
          <w:szCs w:val="24"/>
        </w:rPr>
        <w:t>2.</w:t>
      </w:r>
      <w:r w:rsidRPr="000E65A5">
        <w:rPr>
          <w:rFonts w:ascii="Times New Roman" w:eastAsia="PMingLiU" w:hAnsi="Times New Roman" w:cs="Times New Roman"/>
          <w:lang w:val="ru-RU" w:eastAsia="zh-TW"/>
        </w:rPr>
        <w:t xml:space="preserve"> </w:t>
      </w:r>
      <w:r w:rsidR="000E65A5" w:rsidRPr="000E65A5">
        <w:rPr>
          <w:rFonts w:ascii="Times New Roman" w:eastAsia="PMingLiU" w:hAnsi="Times New Roman" w:cs="Times New Roman"/>
          <w:lang w:val="ru-RU" w:eastAsia="zh-TW"/>
        </w:rPr>
        <w:t>Е</w:t>
      </w:r>
      <w:r w:rsidRPr="000E65A5">
        <w:rPr>
          <w:rFonts w:ascii="Times New Roman" w:hAnsi="Times New Roman" w:cs="Times New Roman"/>
          <w:sz w:val="24"/>
          <w:szCs w:val="24"/>
        </w:rPr>
        <w:t>кологичният компонент се определя  в зависимост от екологичната категория на автомобила с наредбата по чл. 1, ал. 2 в следните граници:</w:t>
      </w:r>
    </w:p>
    <w:p w:rsidR="00B44083" w:rsidRPr="00B44083" w:rsidRDefault="00B44083" w:rsidP="00B4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701"/>
      </w:tblGrid>
      <w:tr w:rsidR="0014040D" w:rsidRPr="00B4408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B44083" w:rsidRDefault="0014040D" w:rsidP="00F041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3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Екологична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B44083" w:rsidRDefault="0014040D" w:rsidP="00F041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3">
              <w:rPr>
                <w:rFonts w:ascii="Times New Roman" w:hAnsi="Times New Roman" w:cs="Times New Roman"/>
                <w:b/>
                <w:sz w:val="24"/>
                <w:szCs w:val="24"/>
              </w:rPr>
              <w:t>Коефициент</w:t>
            </w:r>
          </w:p>
        </w:tc>
      </w:tr>
      <w:tr w:rsidR="0014040D" w:rsidRPr="0084752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B440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</w:tr>
      <w:tr w:rsidR="0014040D" w:rsidRPr="0084752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"Евро 3"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B440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</w:tr>
      <w:tr w:rsidR="0014040D" w:rsidRPr="0084752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"Евро 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B440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0,80 </w:t>
            </w:r>
          </w:p>
        </w:tc>
      </w:tr>
      <w:tr w:rsidR="0014040D" w:rsidRPr="0084752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>"Евро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B440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0,60 </w:t>
            </w:r>
          </w:p>
        </w:tc>
      </w:tr>
      <w:tr w:rsidR="0014040D" w:rsidRPr="00847523" w:rsidTr="00B440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F04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>"Евро 6" и "ЕЕV"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847523" w:rsidRDefault="0014040D" w:rsidP="00B440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3">
              <w:rPr>
                <w:rFonts w:ascii="Times New Roman" w:hAnsi="Times New Roman" w:cs="Times New Roman"/>
                <w:sz w:val="24"/>
                <w:szCs w:val="24"/>
              </w:rPr>
              <w:t xml:space="preserve">0,40 </w:t>
            </w:r>
          </w:p>
        </w:tc>
      </w:tr>
    </w:tbl>
    <w:p w:rsidR="0014040D" w:rsidRDefault="0014040D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4040D" w:rsidRPr="000E65A5" w:rsidRDefault="0014040D" w:rsidP="00613C89">
      <w:pPr>
        <w:pStyle w:val="a4"/>
        <w:tabs>
          <w:tab w:val="left" w:pos="709"/>
        </w:tabs>
        <w:spacing w:before="120" w:beforeAutospacing="0" w:after="0" w:afterAutospacing="0"/>
      </w:pPr>
      <w:r w:rsidRPr="000E65A5">
        <w:rPr>
          <w:rFonts w:eastAsia="PMingLiU"/>
          <w:lang w:eastAsia="zh-TW"/>
        </w:rPr>
        <w:t xml:space="preserve">           </w:t>
      </w:r>
      <w:r w:rsidR="000E65A5" w:rsidRPr="000E65A5">
        <w:rPr>
          <w:rFonts w:eastAsia="PMingLiU"/>
          <w:lang w:eastAsia="zh-TW"/>
        </w:rPr>
        <w:t>ІІ.</w:t>
      </w:r>
      <w:r w:rsidRPr="000E65A5">
        <w:rPr>
          <w:rFonts w:eastAsia="PMingLiU"/>
          <w:lang w:eastAsia="zh-TW"/>
        </w:rPr>
        <w:t xml:space="preserve"> </w:t>
      </w:r>
      <w:r w:rsidR="00613C89">
        <w:rPr>
          <w:rFonts w:eastAsia="PMingLiU"/>
          <w:lang w:eastAsia="zh-TW"/>
        </w:rPr>
        <w:t>В ал.</w:t>
      </w:r>
      <w:r w:rsidRPr="000E65A5">
        <w:rPr>
          <w:rFonts w:eastAsia="PMingLiU"/>
          <w:lang w:eastAsia="zh-TW"/>
        </w:rPr>
        <w:t>2</w:t>
      </w:r>
      <w:r w:rsidR="00613C89">
        <w:rPr>
          <w:rFonts w:eastAsia="PMingLiU"/>
          <w:lang w:eastAsia="zh-TW"/>
        </w:rPr>
        <w:t>.</w:t>
      </w:r>
      <w:r w:rsidRPr="000E65A5">
        <w:rPr>
          <w:rFonts w:eastAsia="PMingLiU"/>
          <w:lang w:eastAsia="zh-TW"/>
        </w:rPr>
        <w:t xml:space="preserve"> Данъ</w:t>
      </w:r>
      <w:r w:rsidRPr="000E65A5">
        <w:t>кът за ремаркета на леки и товарни автомобили с технически допустима максимална маса не повече от 3,5 т в размер, както следва: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товарно ремарке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–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val="ru-RU" w:eastAsia="zh-TW"/>
        </w:rPr>
        <w:t>5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къмпинг ремарке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–  1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0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,00 лв.</w:t>
      </w:r>
    </w:p>
    <w:p w:rsidR="0014040D" w:rsidRPr="000E65A5" w:rsidRDefault="00613C89" w:rsidP="00613C8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3C89">
        <w:rPr>
          <w:rFonts w:ascii="Times New Roman" w:eastAsia="PMingLiU" w:hAnsi="Times New Roman" w:cs="Times New Roman"/>
          <w:sz w:val="24"/>
          <w:szCs w:val="24"/>
          <w:lang w:eastAsia="zh-TW"/>
        </w:rPr>
        <w:t>ІІІ. В ал.</w:t>
      </w:r>
      <w:r w:rsidR="0014040D" w:rsidRPr="00613C89">
        <w:rPr>
          <w:rFonts w:ascii="Times New Roman" w:eastAsia="PMingLiU" w:hAnsi="Times New Roman" w:cs="Times New Roman"/>
          <w:sz w:val="24"/>
          <w:szCs w:val="24"/>
          <w:lang w:eastAsia="zh-TW"/>
        </w:rPr>
        <w:t>3</w:t>
      </w:r>
      <w:r w:rsidR="0014040D" w:rsidRPr="00613C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3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40D" w:rsidRPr="00613C89">
        <w:rPr>
          <w:rFonts w:ascii="Times New Roman" w:eastAsia="PMingLiU" w:hAnsi="Times New Roman" w:cs="Times New Roman"/>
          <w:sz w:val="24"/>
          <w:szCs w:val="24"/>
          <w:lang w:eastAsia="zh-TW"/>
        </w:rPr>
        <w:t>Данъкът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за мотопеди е в размер 1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0</w:t>
      </w:r>
      <w:r w:rsidR="0014040D"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,00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лв., а за мотоциклети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– 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в размер, както следва: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до 125 куб. см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12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,00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2. над 125 до 250 куб. см включително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25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3. над 250 до 350 куб. см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35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,00 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4. над 350 до 490 куб. см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5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0,00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5. над 490 до 750 куб. см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75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14040D" w:rsidP="009D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6. над 750 куб. см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</w:t>
      </w:r>
      <w:r w:rsidR="00171E0A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100,00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613C89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ІV. В ал.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4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данъка за триколесно превозно средство, определено в чл. 4 от Регламент (ЕС) № 168/2013 на Европейския парламент и на Съвета от 15 януари 2013 г. </w:t>
      </w:r>
      <w:r w:rsidRPr="000E65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>тносно одобряването и надзора на пазара на дву-, три- и четириколесни превозни средства (</w:t>
      </w:r>
      <w:r w:rsidR="0014040D" w:rsidRPr="000E65A5">
        <w:rPr>
          <w:rFonts w:ascii="Times New Roman" w:hAnsi="Times New Roman" w:cs="Times New Roman"/>
          <w:sz w:val="24"/>
          <w:szCs w:val="24"/>
        </w:rPr>
        <w:t>OB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040D" w:rsidRPr="000E65A5">
        <w:rPr>
          <w:rFonts w:ascii="Times New Roman" w:hAnsi="Times New Roman" w:cs="Times New Roman"/>
          <w:sz w:val="24"/>
          <w:szCs w:val="24"/>
        </w:rPr>
        <w:t>L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 60/52 от 2 март 2013 г.), наричан по-нататък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>Регламент (ЕС) № 168/2013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4040D" w:rsidRPr="000E65A5">
        <w:rPr>
          <w:rFonts w:ascii="Times New Roman" w:hAnsi="Times New Roman" w:cs="Times New Roman"/>
          <w:sz w:val="24"/>
          <w:szCs w:val="24"/>
          <w:lang w:val="ru-RU"/>
        </w:rPr>
        <w:t>, на базата на общото тегло в размер, както следва:</w:t>
      </w:r>
    </w:p>
    <w:p w:rsidR="0014040D" w:rsidRPr="000E65A5" w:rsidRDefault="0014040D" w:rsidP="009D288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до 400 кг. </w:t>
      </w:r>
      <w:r w:rsidR="00613C89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В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ключително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4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14040D" w:rsidP="009D288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над 400 кг.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–  6,00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613C89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V. В ал.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автобуси се определя в зависимост от броя на местата за сядане:</w:t>
      </w:r>
    </w:p>
    <w:p w:rsidR="0014040D" w:rsidRPr="000E65A5" w:rsidRDefault="0014040D" w:rsidP="009D288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до 22 места, вкл. мястото на водача </w:t>
      </w:r>
      <w:r w:rsidR="002A1455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A1455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–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50,00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лв.</w:t>
      </w:r>
    </w:p>
    <w:p w:rsidR="0014040D" w:rsidRPr="000E65A5" w:rsidRDefault="0014040D" w:rsidP="009D288E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над 22 места, вкл. мястото на водача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– 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100,00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4040D" w:rsidRPr="000E65A5" w:rsidRDefault="00613C89" w:rsidP="00613C89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VІ. В ал.</w:t>
      </w:r>
      <w:r w:rsidR="0014040D" w:rsidRPr="000E65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40D" w:rsidRPr="000E65A5">
        <w:rPr>
          <w:rFonts w:ascii="Times New Roman" w:hAnsi="Times New Roman" w:cs="Times New Roman"/>
          <w:sz w:val="24"/>
          <w:szCs w:val="24"/>
        </w:rPr>
        <w:t xml:space="preserve"> Данъкът за товарен автомобил с технически допустима максимална маса над 3,5 т, но не повече от 12т, в размер от 10</w:t>
      </w:r>
      <w:r w:rsidR="00171E0A" w:rsidRPr="000E65A5">
        <w:rPr>
          <w:rFonts w:ascii="Times New Roman" w:hAnsi="Times New Roman" w:cs="Times New Roman"/>
          <w:sz w:val="24"/>
          <w:szCs w:val="24"/>
        </w:rPr>
        <w:t>,00</w:t>
      </w:r>
      <w:r w:rsidR="0014040D" w:rsidRPr="000E65A5">
        <w:rPr>
          <w:rFonts w:ascii="Times New Roman" w:hAnsi="Times New Roman" w:cs="Times New Roman"/>
          <w:sz w:val="24"/>
          <w:szCs w:val="24"/>
        </w:rPr>
        <w:t>лв. за всеки започнати 750 кг товароносимост </w:t>
      </w:r>
    </w:p>
    <w:p w:rsidR="0014040D" w:rsidRPr="000A7476" w:rsidRDefault="00FE482D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ru-RU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VІІ. В ал.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4040D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седлови влекач и влекач за ремарке се определя в зависимост от допустимата максимална маса на състава от превозни средства, от броя на осите и вида на окачването на влекача, посочени в свидетелството за регистрация на влекача, както следва:</w:t>
      </w:r>
    </w:p>
    <w:p w:rsid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0A7476" w:rsidRPr="000A7476" w:rsidRDefault="000A7476" w:rsidP="00613C89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276"/>
        <w:gridCol w:w="1276"/>
        <w:gridCol w:w="1807"/>
        <w:gridCol w:w="2357"/>
      </w:tblGrid>
      <w:tr w:rsidR="0014040D" w:rsidRPr="00171E0A" w:rsidTr="00171E0A">
        <w:trPr>
          <w:cantSplit/>
          <w:trHeight w:val="1105"/>
          <w:tblHeader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lastRenderedPageBreak/>
              <w:t>Брой оси на седловия влекач/влекача за ремарке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Допустима максимална маса на състава от превозни средства, посочена в свидетелството за регистрация на влекача (в тона):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Данък (в лева)</w:t>
            </w:r>
          </w:p>
        </w:tc>
      </w:tr>
      <w:tr w:rsidR="00171E0A" w:rsidRPr="00171E0A" w:rsidTr="00171E0A">
        <w:trPr>
          <w:cantSplit/>
          <w:trHeight w:val="1480"/>
          <w:tblHeader/>
          <w:jc w:val="center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равна или повече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по-малка от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задвижваща ос/оси с пневматично или с окачване, прието за еквивалентно на пневматичното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/>
                <w:lang w:eastAsia="zh-TW"/>
              </w:rPr>
              <w:t>други системи за окачване на задвижващата ос/оси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pStyle w:val="3"/>
              <w:rPr>
                <w:szCs w:val="24"/>
                <w:lang w:val="bg-BG"/>
              </w:rPr>
            </w:pPr>
            <w:r w:rsidRPr="00171E0A">
              <w:rPr>
                <w:szCs w:val="24"/>
                <w:lang w:val="bg-BG"/>
              </w:rPr>
              <w:t>А) с две оси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t>28,00</w:t>
            </w:r>
          </w:p>
        </w:tc>
      </w:tr>
      <w:tr w:rsidR="00171E0A" w:rsidRPr="00171E0A" w:rsidTr="00171E0A">
        <w:trPr>
          <w:trHeight w:val="22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64,00</w:t>
            </w:r>
          </w:p>
        </w:tc>
      </w:tr>
      <w:tr w:rsidR="00171E0A" w:rsidRPr="00171E0A" w:rsidTr="00171E0A">
        <w:trPr>
          <w:trHeight w:val="22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64,00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147,00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342,00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342,00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600,00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342,00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600,00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331,00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399,00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399,00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655,00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655,00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909,00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909,00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381,00</w:t>
            </w:r>
          </w:p>
        </w:tc>
      </w:tr>
      <w:tr w:rsidR="00171E0A" w:rsidRPr="00171E0A" w:rsidTr="00171E0A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007,00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369,00</w:t>
            </w:r>
          </w:p>
        </w:tc>
      </w:tr>
      <w:tr w:rsidR="00171E0A" w:rsidRPr="00171E0A" w:rsidTr="00171E0A">
        <w:trPr>
          <w:trHeight w:val="28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Б) с три и повече оси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888,00</w:t>
            </w:r>
          </w:p>
        </w:tc>
      </w:tr>
      <w:tr w:rsidR="00171E0A" w:rsidRPr="00171E0A" w:rsidTr="00171E0A">
        <w:trPr>
          <w:trHeight w:val="11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888,00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228,00</w:t>
            </w:r>
          </w:p>
        </w:tc>
      </w:tr>
      <w:tr w:rsidR="00171E0A" w:rsidRPr="00171E0A" w:rsidTr="00171E0A">
        <w:trPr>
          <w:trHeight w:val="11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ind w:firstLine="85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228,00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0D" w:rsidRPr="00171E0A" w:rsidRDefault="0014040D" w:rsidP="00171E0A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71E0A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817,00</w:t>
            </w:r>
          </w:p>
        </w:tc>
      </w:tr>
    </w:tbl>
    <w:p w:rsidR="0014040D" w:rsidRDefault="0014040D" w:rsidP="001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3D7C" w:rsidRPr="000E65A5" w:rsidRDefault="005E1DFC" w:rsidP="005E1DFC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VІІІ. В ал.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специализирани строителни машини (бетоновози, бетон-помпи и други), автокранове, специализирани ремаркета за превоз на тежки или извънгабаритни товари и други специални автомобили, без тролейбусите, е в размер от </w:t>
      </w:r>
      <w:r w:rsidR="001F3D7C"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1F3D7C" w:rsidRPr="000E65A5">
        <w:rPr>
          <w:rFonts w:ascii="Times New Roman" w:eastAsia="PMingLiU" w:hAnsi="Times New Roman" w:cs="Times New Roman"/>
          <w:bCs/>
          <w:sz w:val="24"/>
          <w:szCs w:val="24"/>
          <w:lang w:val="ru-RU" w:eastAsia="zh-TW"/>
        </w:rPr>
        <w:t>50</w:t>
      </w:r>
      <w:r w:rsidR="001F3D7C"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,00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лв.</w:t>
      </w:r>
    </w:p>
    <w:p w:rsidR="001F3D7C" w:rsidRPr="000E65A5" w:rsidRDefault="005E1DFC" w:rsidP="005E1DFC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ІХ. В ал.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автокранове с товароподемност над 40 тона, специализирани ремаркета за превоз на тежки или извънгабаритни товари с товароподемност над 40 тона  е в размер 1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0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0,00лв.</w:t>
      </w:r>
    </w:p>
    <w:p w:rsidR="001F3D7C" w:rsidRPr="000E65A5" w:rsidRDefault="005E1DFC" w:rsidP="005E1DFC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Х. В ал.1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трактори е в размери, както следва:</w:t>
      </w:r>
    </w:p>
    <w:p w:rsidR="001F3D7C" w:rsidRPr="000E65A5" w:rsidRDefault="001F3D7C" w:rsidP="0081715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от 11 kW до 18 kW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–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  5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F3D7C" w:rsidRPr="000E65A5" w:rsidRDefault="001F3D7C" w:rsidP="0081715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над 18 kW до 37 kW включително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–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 xml:space="preserve">  7</w:t>
      </w:r>
      <w:r w:rsidRPr="000E65A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,00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лв.</w:t>
      </w:r>
    </w:p>
    <w:p w:rsidR="001F3D7C" w:rsidRPr="000E65A5" w:rsidRDefault="001F3D7C" w:rsidP="0081715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3. над 37 kW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0A7476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           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– </w:t>
      </w:r>
      <w:r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1</w:t>
      </w:r>
      <w:r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0,00 лв.</w:t>
      </w:r>
    </w:p>
    <w:p w:rsidR="001F3D7C" w:rsidRPr="000E65A5" w:rsidRDefault="005E1DFC" w:rsidP="005E1DFC">
      <w:pPr>
        <w:spacing w:before="120"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ХІ. В ал.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11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други самоходни машини е в размер  </w:t>
      </w:r>
      <w:r w:rsidR="009F1A38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–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val="ru-RU" w:eastAsia="zh-TW"/>
        </w:rPr>
        <w:t>25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,00 лв.</w:t>
      </w:r>
    </w:p>
    <w:p w:rsidR="001F3D7C" w:rsidRPr="000E65A5" w:rsidRDefault="00474EFE" w:rsidP="005E1DFC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ХІІ. В ал.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</w:t>
      </w:r>
      <w:r w:rsidR="001F3D7C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данъка за моторни шейни и четириколесни превозни средства, </w:t>
      </w:r>
      <w:r>
        <w:rPr>
          <w:rFonts w:ascii="Times New Roman" w:hAnsi="Times New Roman" w:cs="Times New Roman"/>
          <w:sz w:val="24"/>
          <w:szCs w:val="24"/>
          <w:lang w:val="ru-RU"/>
        </w:rPr>
        <w:pgNum/>
      </w:r>
      <w:r>
        <w:rPr>
          <w:rFonts w:ascii="Times New Roman" w:hAnsi="Times New Roman" w:cs="Times New Roman"/>
          <w:sz w:val="24"/>
          <w:szCs w:val="24"/>
          <w:lang w:val="ru-RU"/>
        </w:rPr>
        <w:t>пределении</w:t>
      </w:r>
      <w:r w:rsidR="001F3D7C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 в чл. 4 от Регламент (ЕС) № 168/2013, в размер  </w:t>
      </w:r>
      <w:r w:rsidR="001F3D7C" w:rsidRPr="000E65A5">
        <w:rPr>
          <w:rFonts w:ascii="Times New Roman" w:hAnsi="Times New Roman" w:cs="Times New Roman"/>
          <w:sz w:val="24"/>
          <w:szCs w:val="24"/>
        </w:rPr>
        <w:t>от 30,00 лв.</w:t>
      </w:r>
      <w:r w:rsidR="001F3D7C" w:rsidRPr="000E65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1F3D7C" w:rsidRPr="000E65A5" w:rsidRDefault="00474EFE" w:rsidP="00474EFE">
      <w:pPr>
        <w:spacing w:before="120"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ХІІІ. В ал.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>13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F3D7C" w:rsidRPr="000E65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Данъкът за товарни автомобили с допустима максимална маса над 12 т. се определя в зависимост от допустимата максимална маса, броя на осите и вида на окачването, както следва:</w:t>
      </w:r>
    </w:p>
    <w:p w:rsidR="009F1A38" w:rsidRDefault="009F1A38" w:rsidP="009F1A38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251"/>
        <w:gridCol w:w="825"/>
        <w:gridCol w:w="2601"/>
        <w:gridCol w:w="2464"/>
      </w:tblGrid>
      <w:tr w:rsidR="001F3D7C" w:rsidRPr="001A2DB9" w:rsidTr="007D598E">
        <w:trPr>
          <w:cantSplit/>
          <w:trHeight w:val="930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to_paragraph_id39742862"/>
            <w:bookmarkEnd w:id="0"/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Брой оси на моторното превозно средство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Допустима максимална маса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Данък (в лв.)</w:t>
            </w:r>
          </w:p>
        </w:tc>
      </w:tr>
      <w:tr w:rsidR="001F3D7C" w:rsidRPr="001A2DB9" w:rsidTr="007D598E">
        <w:trPr>
          <w:cantSplit/>
          <w:trHeight w:val="1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равна или повече от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по-малка от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задвижваща ос/оси с пневматично или с окачване, прието за еквивалентно на пневматичното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други системи за окачване на задвижващата ос/оси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7C" w:rsidRPr="001A2DB9" w:rsidRDefault="001F3D7C" w:rsidP="001A2DB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А) с две оси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30,00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61,00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61,00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168,00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168,00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237,00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237,00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536,00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Б) с три оси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               61 ,00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106,00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106,00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217,00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217,00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282,00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282,00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434,00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434,00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675,00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В) с четири оси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282,00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286,00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286,00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446,00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446,00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708,00</w:t>
            </w:r>
          </w:p>
        </w:tc>
      </w:tr>
      <w:tr w:rsidR="001F3D7C" w:rsidRPr="001A2DB9" w:rsidTr="001A2DB9">
        <w:trPr>
          <w:trHeight w:val="39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708,00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D7C" w:rsidRPr="001A2DB9" w:rsidRDefault="001F3D7C" w:rsidP="001A2DB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</w:pP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1</w:t>
            </w:r>
            <w:r w:rsid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Pr="001A2DB9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zh-TW"/>
              </w:rPr>
              <w:t>050,00</w:t>
            </w:r>
          </w:p>
        </w:tc>
      </w:tr>
    </w:tbl>
    <w:p w:rsidR="007D598E" w:rsidRPr="000E65A5" w:rsidRDefault="007D598E" w:rsidP="00F75185">
      <w:pPr>
        <w:pStyle w:val="m"/>
        <w:tabs>
          <w:tab w:val="left" w:pos="709"/>
        </w:tabs>
        <w:spacing w:before="120" w:beforeAutospacing="0" w:after="0" w:afterAutospacing="0"/>
        <w:jc w:val="both"/>
        <w:rPr>
          <w:lang w:val="ru-RU"/>
        </w:rPr>
      </w:pPr>
      <w:r w:rsidRPr="000E65A5">
        <w:t xml:space="preserve">           </w:t>
      </w:r>
      <w:r w:rsidR="00E90FDE">
        <w:t>ХІV. В ал.</w:t>
      </w:r>
      <w:r w:rsidRPr="000E65A5">
        <w:t>14</w:t>
      </w:r>
      <w:r w:rsidR="00E90FDE">
        <w:t xml:space="preserve">. </w:t>
      </w:r>
      <w:r w:rsidRPr="000E65A5">
        <w:t>Когато в регистъра по чл. 54, ал. 1 от ЗМДТ няма данни за екологичната категория на моторното превозно средство, се приема, че превозното средство е без екологична категория</w:t>
      </w:r>
      <w:r w:rsidR="00C143D9" w:rsidRPr="000E65A5">
        <w:t>”</w:t>
      </w:r>
    </w:p>
    <w:p w:rsidR="00F04581" w:rsidRDefault="00FE2F81" w:rsidP="00F7518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2F7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04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D13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4581" w:rsidRPr="00F04581">
        <w:rPr>
          <w:rFonts w:ascii="Times New Roman" w:hAnsi="Times New Roman" w:cs="Times New Roman"/>
          <w:sz w:val="24"/>
          <w:szCs w:val="24"/>
          <w:lang w:val="ru-RU"/>
        </w:rPr>
        <w:t xml:space="preserve"> чл.45 се </w:t>
      </w:r>
      <w:r w:rsidR="001D13CE">
        <w:rPr>
          <w:rFonts w:ascii="Times New Roman" w:hAnsi="Times New Roman" w:cs="Times New Roman"/>
          <w:sz w:val="24"/>
          <w:szCs w:val="24"/>
          <w:lang w:val="ru-RU"/>
        </w:rPr>
        <w:t xml:space="preserve">правят следните </w:t>
      </w:r>
      <w:r w:rsidR="00F04581" w:rsidRPr="00F04581">
        <w:rPr>
          <w:rFonts w:ascii="Times New Roman" w:hAnsi="Times New Roman" w:cs="Times New Roman"/>
          <w:sz w:val="24"/>
          <w:szCs w:val="24"/>
          <w:lang w:val="ru-RU"/>
        </w:rPr>
        <w:t>измен</w:t>
      </w:r>
      <w:r w:rsidR="001D13CE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F04581" w:rsidRPr="00F045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F7895" w:rsidRPr="001D13CE" w:rsidRDefault="001D13CE" w:rsidP="00F7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1D13C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2F7895" w:rsidRPr="001D13CE">
        <w:rPr>
          <w:rFonts w:ascii="Times New Roman" w:hAnsi="Times New Roman" w:cs="Times New Roman"/>
          <w:bCs/>
          <w:color w:val="000000"/>
          <w:sz w:val="24"/>
          <w:szCs w:val="24"/>
        </w:rPr>
        <w:t>л. 1</w:t>
      </w:r>
      <w:r w:rsidR="002F7895" w:rsidRPr="001D13CE">
        <w:rPr>
          <w:rFonts w:ascii="Times New Roman" w:hAnsi="Times New Roman" w:cs="Times New Roman"/>
          <w:color w:val="000000"/>
          <w:sz w:val="24"/>
          <w:szCs w:val="24"/>
        </w:rPr>
        <w:t xml:space="preserve"> се отменя;</w:t>
      </w:r>
    </w:p>
    <w:p w:rsidR="00FE2F81" w:rsidRPr="001D13CE" w:rsidRDefault="001D13CE" w:rsidP="001D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В </w:t>
      </w:r>
      <w:r w:rsidR="00FE2F81" w:rsidRPr="001D13CE">
        <w:rPr>
          <w:rFonts w:ascii="Times New Roman" w:hAnsi="Times New Roman" w:cs="Times New Roman"/>
          <w:bCs/>
          <w:color w:val="000000"/>
          <w:sz w:val="24"/>
          <w:szCs w:val="24"/>
        </w:rPr>
        <w:t>ал.2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730EE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FE2F81" w:rsidRPr="001D13CE">
        <w:rPr>
          <w:rFonts w:ascii="Times New Roman" w:hAnsi="Times New Roman" w:cs="Times New Roman"/>
          <w:color w:val="000000"/>
          <w:sz w:val="24"/>
          <w:szCs w:val="24"/>
        </w:rPr>
        <w:t>За мотопеди и мотоциклети с мощност на двигателя до 74</w:t>
      </w:r>
      <w:r w:rsidR="00A7047D" w:rsidRPr="001D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1D13CE">
        <w:rPr>
          <w:rFonts w:ascii="Times New Roman" w:hAnsi="Times New Roman" w:cs="Times New Roman"/>
          <w:color w:val="000000"/>
          <w:sz w:val="24"/>
          <w:szCs w:val="24"/>
        </w:rPr>
        <w:t>kW включително, и съответстващи на екологична категория „Евро 4“ данъкът се заплаща с 20</w:t>
      </w:r>
      <w:r w:rsidR="00A7047D" w:rsidRPr="001D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1D13CE">
        <w:rPr>
          <w:rFonts w:ascii="Times New Roman" w:hAnsi="Times New Roman" w:cs="Times New Roman"/>
          <w:color w:val="000000"/>
          <w:sz w:val="24"/>
          <w:szCs w:val="24"/>
        </w:rPr>
        <w:t>на сто намаление, а за съответстващите на екологични категории, по-високи от „Евро 4“ – с 60</w:t>
      </w:r>
      <w:r w:rsidR="00A7047D" w:rsidRPr="001D1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1D13CE">
        <w:rPr>
          <w:rFonts w:ascii="Times New Roman" w:hAnsi="Times New Roman" w:cs="Times New Roman"/>
          <w:color w:val="000000"/>
          <w:sz w:val="24"/>
          <w:szCs w:val="24"/>
        </w:rPr>
        <w:t>на сто намаление от опред</w:t>
      </w:r>
      <w:r w:rsidR="00F04581" w:rsidRPr="001D13CE">
        <w:rPr>
          <w:rFonts w:ascii="Times New Roman" w:hAnsi="Times New Roman" w:cs="Times New Roman"/>
          <w:color w:val="000000"/>
          <w:sz w:val="24"/>
          <w:szCs w:val="24"/>
        </w:rPr>
        <w:t>еления по чл. 41, ал. 3 данък.“</w:t>
      </w:r>
    </w:p>
    <w:p w:rsidR="00F041D3" w:rsidRPr="004A4DB3" w:rsidRDefault="00FE2F81" w:rsidP="00F7518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2F7895" w:rsidRPr="004A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A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041D3" w:rsidRPr="004A4DB3">
        <w:rPr>
          <w:rFonts w:ascii="Times New Roman" w:hAnsi="Times New Roman" w:cs="Times New Roman"/>
          <w:sz w:val="24"/>
          <w:szCs w:val="24"/>
          <w:lang w:val="ru-RU"/>
        </w:rPr>
        <w:t>Разпоредбата на чл.45 се изменя, както следва:</w:t>
      </w:r>
    </w:p>
    <w:p w:rsidR="00FE2F81" w:rsidRPr="004A4DB3" w:rsidRDefault="004A4DB3" w:rsidP="004A4DB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FE2F81" w:rsidRPr="004A4DB3">
        <w:rPr>
          <w:rFonts w:ascii="Times New Roman" w:hAnsi="Times New Roman" w:cs="Times New Roman"/>
          <w:bCs/>
          <w:color w:val="000000"/>
          <w:sz w:val="24"/>
          <w:szCs w:val="24"/>
        </w:rPr>
        <w:t>ал.3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041D3" w:rsidRPr="004A4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>За автобусите, товарните автомобили, с технически допустима максимална маса над 3,5 т,</w:t>
      </w:r>
      <w:r w:rsidR="00A7047D" w:rsidRPr="004A4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>влекачите за ремарке и седловите влекачи с двигатели, съответстващи на екологична категория</w:t>
      </w:r>
      <w:r w:rsidR="00A7047D" w:rsidRPr="004A4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>„Евро 4“, данъкът се заплаща с 20 на сто намаление, а за съответстващите на „Евро 5“, „Евро 6“</w:t>
      </w:r>
      <w:r w:rsidR="00A7047D" w:rsidRPr="004A4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 xml:space="preserve">и „ЕЕV“ – с 50 на сто намаление от определения по </w:t>
      </w:r>
      <w:r w:rsidR="00F041D3" w:rsidRPr="004A4DB3">
        <w:rPr>
          <w:rFonts w:ascii="Times New Roman" w:hAnsi="Times New Roman" w:cs="Times New Roman"/>
          <w:color w:val="000000"/>
          <w:sz w:val="24"/>
          <w:szCs w:val="24"/>
        </w:rPr>
        <w:t>чл.41, ал. 5, 6, 7 и 13 данък.“</w:t>
      </w:r>
    </w:p>
    <w:p w:rsidR="00FE2F81" w:rsidRPr="004A4DB3" w:rsidRDefault="004A4DB3" w:rsidP="004A4DB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FE2F81" w:rsidRPr="004A4DB3">
        <w:rPr>
          <w:rFonts w:ascii="Times New Roman" w:hAnsi="Times New Roman" w:cs="Times New Roman"/>
          <w:bCs/>
          <w:color w:val="000000"/>
          <w:sz w:val="24"/>
          <w:szCs w:val="24"/>
        </w:rPr>
        <w:t>ал.5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E2F81" w:rsidRPr="004A4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>Когато в регистъра по чл. 54, ал. 1 от ЗМДТ няма данни за екологичната категория на</w:t>
      </w:r>
      <w:r w:rsidR="00A7047D" w:rsidRPr="004A4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4A4DB3">
        <w:rPr>
          <w:rFonts w:ascii="Times New Roman" w:hAnsi="Times New Roman" w:cs="Times New Roman"/>
          <w:color w:val="000000"/>
          <w:sz w:val="24"/>
          <w:szCs w:val="24"/>
        </w:rPr>
        <w:t>моторното превозно средство, се приема, че превозното средство е без екологична категория.“</w:t>
      </w:r>
    </w:p>
    <w:p w:rsidR="00F041D3" w:rsidRDefault="00FE2F81" w:rsidP="008C22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 w:rsidR="002F7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="00F041D3" w:rsidRPr="00F04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1D3" w:rsidRPr="002F7895">
        <w:rPr>
          <w:rFonts w:ascii="Times New Roman" w:hAnsi="Times New Roman" w:cs="Times New Roman"/>
          <w:sz w:val="24"/>
          <w:szCs w:val="24"/>
          <w:lang w:val="ru-RU"/>
        </w:rPr>
        <w:t>Разпоредбата на чл.</w:t>
      </w:r>
      <w:r w:rsidR="00F041D3" w:rsidRPr="002F7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47</w:t>
      </w:r>
      <w:r w:rsidR="00F041D3" w:rsidRPr="002F7895">
        <w:rPr>
          <w:rFonts w:ascii="Times New Roman" w:hAnsi="Times New Roman" w:cs="Times New Roman"/>
          <w:sz w:val="24"/>
          <w:szCs w:val="24"/>
          <w:lang w:val="ru-RU"/>
        </w:rPr>
        <w:t xml:space="preserve"> се изменя, както следва:</w:t>
      </w:r>
    </w:p>
    <w:p w:rsidR="00FE2F81" w:rsidRPr="008C22C6" w:rsidRDefault="00FE2F81" w:rsidP="008C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2C6">
        <w:rPr>
          <w:rFonts w:ascii="Times New Roman" w:hAnsi="Times New Roman" w:cs="Times New Roman"/>
          <w:color w:val="000000"/>
          <w:sz w:val="24"/>
          <w:szCs w:val="24"/>
        </w:rPr>
        <w:t>„Чл.47. Данъкът се внася в приход на бюджета на общината по постоянния адрес, съответно</w:t>
      </w:r>
      <w:r w:rsidR="007D1A1B" w:rsidRPr="008C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2C6">
        <w:rPr>
          <w:rFonts w:ascii="Times New Roman" w:hAnsi="Times New Roman" w:cs="Times New Roman"/>
          <w:color w:val="000000"/>
          <w:sz w:val="24"/>
          <w:szCs w:val="24"/>
        </w:rPr>
        <w:t>седалището на собственика, а в случаите по чл. 54, ал. 5 ЗМТД – в приход на общината по</w:t>
      </w:r>
      <w:r w:rsidR="007D1A1B" w:rsidRPr="008C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2C6">
        <w:rPr>
          <w:rFonts w:ascii="Times New Roman" w:hAnsi="Times New Roman" w:cs="Times New Roman"/>
          <w:color w:val="000000"/>
          <w:sz w:val="24"/>
          <w:szCs w:val="24"/>
        </w:rPr>
        <w:t>регистрация на превозното средство.“</w:t>
      </w:r>
    </w:p>
    <w:p w:rsidR="00AA26E1" w:rsidRDefault="00F041D3" w:rsidP="008C22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§1</w:t>
      </w:r>
      <w:r w:rsidR="002F7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70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Pr="00F04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6E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89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F7895">
        <w:rPr>
          <w:rFonts w:ascii="Times New Roman" w:hAnsi="Times New Roman" w:cs="Times New Roman"/>
          <w:bCs/>
          <w:color w:val="000000"/>
          <w:sz w:val="24"/>
          <w:szCs w:val="24"/>
        </w:rPr>
        <w:t>Раздел Преходни и заключителни разпоредби</w:t>
      </w:r>
      <w:r w:rsidR="006B2BD4" w:rsidRPr="002F789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6E1" w:rsidRPr="00102AC4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AA26E1">
        <w:rPr>
          <w:rFonts w:ascii="Times New Roman" w:hAnsi="Times New Roman" w:cs="Times New Roman"/>
          <w:sz w:val="24"/>
          <w:szCs w:val="24"/>
          <w:lang w:val="ru-RU"/>
        </w:rPr>
        <w:t xml:space="preserve">създава нов </w:t>
      </w:r>
      <w:r w:rsidR="00AA26E1" w:rsidRPr="008C22C6">
        <w:rPr>
          <w:rFonts w:ascii="Times New Roman" w:hAnsi="Times New Roman" w:cs="Times New Roman"/>
          <w:color w:val="000000"/>
          <w:sz w:val="24"/>
          <w:szCs w:val="24"/>
        </w:rPr>
        <w:t>§5.</w:t>
      </w:r>
      <w:r w:rsidR="00AA2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B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26E1">
        <w:rPr>
          <w:rFonts w:ascii="Times New Roman" w:hAnsi="Times New Roman" w:cs="Times New Roman"/>
          <w:color w:val="000000"/>
          <w:sz w:val="24"/>
          <w:szCs w:val="24"/>
        </w:rPr>
        <w:t>ъс следния текст:</w:t>
      </w:r>
    </w:p>
    <w:p w:rsidR="008B7128" w:rsidRDefault="00F041D3" w:rsidP="008C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2C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E2F81" w:rsidRPr="008C22C6">
        <w:rPr>
          <w:rFonts w:ascii="Times New Roman" w:hAnsi="Times New Roman" w:cs="Times New Roman"/>
          <w:color w:val="000000"/>
          <w:sz w:val="24"/>
          <w:szCs w:val="24"/>
        </w:rPr>
        <w:t>За всички неуредени въпроси в настоящата Наредба, свързани с местните</w:t>
      </w:r>
      <w:r w:rsidR="00A7047D" w:rsidRPr="008C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81" w:rsidRPr="008C22C6">
        <w:rPr>
          <w:rFonts w:ascii="Times New Roman" w:hAnsi="Times New Roman" w:cs="Times New Roman"/>
          <w:color w:val="000000"/>
          <w:sz w:val="24"/>
          <w:szCs w:val="24"/>
        </w:rPr>
        <w:t>данъци се спазват разпоредбите на Закона за местните данъци</w:t>
      </w:r>
      <w:r w:rsidR="00A7047D" w:rsidRPr="008C22C6">
        <w:rPr>
          <w:rFonts w:ascii="Times New Roman" w:hAnsi="Times New Roman" w:cs="Times New Roman"/>
          <w:color w:val="000000"/>
          <w:sz w:val="24"/>
          <w:szCs w:val="24"/>
        </w:rPr>
        <w:t xml:space="preserve"> и такси.</w:t>
      </w:r>
      <w:r w:rsidR="00423AC8" w:rsidRPr="008C22C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E09DB" w:rsidRDefault="002E09DB" w:rsidP="008C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9DB" w:rsidRPr="00397378" w:rsidRDefault="002E09DB" w:rsidP="00397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2E09DB" w:rsidRPr="00397378" w:rsidSect="00916992">
      <w:footerReference w:type="default" r:id="rId7"/>
      <w:pgSz w:w="11906" w:h="16838"/>
      <w:pgMar w:top="993" w:right="1133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54" w:rsidRDefault="00036254" w:rsidP="00F559B8">
      <w:pPr>
        <w:spacing w:after="0" w:line="240" w:lineRule="auto"/>
      </w:pPr>
      <w:r>
        <w:separator/>
      </w:r>
    </w:p>
  </w:endnote>
  <w:endnote w:type="continuationSeparator" w:id="1">
    <w:p w:rsidR="00036254" w:rsidRDefault="00036254" w:rsidP="00F5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082"/>
      <w:docPartObj>
        <w:docPartGallery w:val="Page Numbers (Bottom of Page)"/>
        <w:docPartUnique/>
      </w:docPartObj>
    </w:sdtPr>
    <w:sdtContent>
      <w:p w:rsidR="00916992" w:rsidRDefault="00CC3A6B">
        <w:pPr>
          <w:pStyle w:val="a7"/>
          <w:jc w:val="center"/>
        </w:pPr>
        <w:r w:rsidRPr="009169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16992" w:rsidRPr="009169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69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747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169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6992" w:rsidRDefault="009169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54" w:rsidRDefault="00036254" w:rsidP="00F559B8">
      <w:pPr>
        <w:spacing w:after="0" w:line="240" w:lineRule="auto"/>
      </w:pPr>
      <w:r>
        <w:separator/>
      </w:r>
    </w:p>
  </w:footnote>
  <w:footnote w:type="continuationSeparator" w:id="1">
    <w:p w:rsidR="00036254" w:rsidRDefault="00036254" w:rsidP="00F5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C4A"/>
    <w:multiLevelType w:val="hybridMultilevel"/>
    <w:tmpl w:val="794CE102"/>
    <w:lvl w:ilvl="0" w:tplc="D9BE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F81"/>
    <w:rsid w:val="00004802"/>
    <w:rsid w:val="000202D8"/>
    <w:rsid w:val="00036254"/>
    <w:rsid w:val="000A7476"/>
    <w:rsid w:val="000D32F4"/>
    <w:rsid w:val="000E65A5"/>
    <w:rsid w:val="00102AC4"/>
    <w:rsid w:val="001127CC"/>
    <w:rsid w:val="001132DC"/>
    <w:rsid w:val="0014040D"/>
    <w:rsid w:val="00171E0A"/>
    <w:rsid w:val="001A249D"/>
    <w:rsid w:val="001A2DB9"/>
    <w:rsid w:val="001D13CE"/>
    <w:rsid w:val="001E7317"/>
    <w:rsid w:val="001F040E"/>
    <w:rsid w:val="001F3D7C"/>
    <w:rsid w:val="002001EF"/>
    <w:rsid w:val="00265B44"/>
    <w:rsid w:val="002730EE"/>
    <w:rsid w:val="002A1455"/>
    <w:rsid w:val="002C56C8"/>
    <w:rsid w:val="002E09DB"/>
    <w:rsid w:val="002F7895"/>
    <w:rsid w:val="00305D0C"/>
    <w:rsid w:val="00317B0F"/>
    <w:rsid w:val="00327B7A"/>
    <w:rsid w:val="00327E3E"/>
    <w:rsid w:val="00336660"/>
    <w:rsid w:val="003405AC"/>
    <w:rsid w:val="00397378"/>
    <w:rsid w:val="003A5AE8"/>
    <w:rsid w:val="00423AC8"/>
    <w:rsid w:val="00455B2A"/>
    <w:rsid w:val="00474EFE"/>
    <w:rsid w:val="004A4DB3"/>
    <w:rsid w:val="004A72B6"/>
    <w:rsid w:val="004D4738"/>
    <w:rsid w:val="0058559C"/>
    <w:rsid w:val="005D6991"/>
    <w:rsid w:val="005E1DFC"/>
    <w:rsid w:val="005F4C56"/>
    <w:rsid w:val="0060304B"/>
    <w:rsid w:val="00613C89"/>
    <w:rsid w:val="00625F38"/>
    <w:rsid w:val="00630007"/>
    <w:rsid w:val="00662141"/>
    <w:rsid w:val="00685F8C"/>
    <w:rsid w:val="0069220E"/>
    <w:rsid w:val="006B1BDE"/>
    <w:rsid w:val="006B2BD4"/>
    <w:rsid w:val="00752FA8"/>
    <w:rsid w:val="007965C0"/>
    <w:rsid w:val="007D1A1B"/>
    <w:rsid w:val="007D598E"/>
    <w:rsid w:val="00800A46"/>
    <w:rsid w:val="008062DC"/>
    <w:rsid w:val="00817159"/>
    <w:rsid w:val="00847523"/>
    <w:rsid w:val="0085049A"/>
    <w:rsid w:val="0085507E"/>
    <w:rsid w:val="00887BE1"/>
    <w:rsid w:val="008B7128"/>
    <w:rsid w:val="008C22C6"/>
    <w:rsid w:val="00916992"/>
    <w:rsid w:val="00964CFF"/>
    <w:rsid w:val="00972F43"/>
    <w:rsid w:val="009D288E"/>
    <w:rsid w:val="009D37C2"/>
    <w:rsid w:val="009E58F1"/>
    <w:rsid w:val="009F1A38"/>
    <w:rsid w:val="00A1288D"/>
    <w:rsid w:val="00A136DC"/>
    <w:rsid w:val="00A316AD"/>
    <w:rsid w:val="00A53B98"/>
    <w:rsid w:val="00A7047D"/>
    <w:rsid w:val="00AA26E1"/>
    <w:rsid w:val="00AE13DC"/>
    <w:rsid w:val="00B153B3"/>
    <w:rsid w:val="00B44083"/>
    <w:rsid w:val="00BD0A7F"/>
    <w:rsid w:val="00BD27A1"/>
    <w:rsid w:val="00C143D9"/>
    <w:rsid w:val="00C43505"/>
    <w:rsid w:val="00C51565"/>
    <w:rsid w:val="00C7264F"/>
    <w:rsid w:val="00C9223C"/>
    <w:rsid w:val="00C93B04"/>
    <w:rsid w:val="00C93E31"/>
    <w:rsid w:val="00CC3A6B"/>
    <w:rsid w:val="00D154A8"/>
    <w:rsid w:val="00D451D8"/>
    <w:rsid w:val="00DD50FB"/>
    <w:rsid w:val="00E02768"/>
    <w:rsid w:val="00E71E64"/>
    <w:rsid w:val="00E90FDE"/>
    <w:rsid w:val="00EF2E07"/>
    <w:rsid w:val="00F041D3"/>
    <w:rsid w:val="00F04581"/>
    <w:rsid w:val="00F17A6E"/>
    <w:rsid w:val="00F559B8"/>
    <w:rsid w:val="00F75185"/>
    <w:rsid w:val="00F84B28"/>
    <w:rsid w:val="00FE2F81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1"/>
  </w:style>
  <w:style w:type="paragraph" w:styleId="1">
    <w:name w:val="heading 1"/>
    <w:basedOn w:val="a"/>
    <w:next w:val="a"/>
    <w:link w:val="10"/>
    <w:uiPriority w:val="9"/>
    <w:qFormat/>
    <w:rsid w:val="0088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40D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PMingLiU" w:hAnsi="Times New Roman" w:cs="Times New Roman"/>
      <w:sz w:val="24"/>
      <w:szCs w:val="20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1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14040D"/>
    <w:rPr>
      <w:color w:val="0000FF"/>
      <w:u w:val="single"/>
    </w:rPr>
  </w:style>
  <w:style w:type="paragraph" w:styleId="a4">
    <w:name w:val="Normal (Web)"/>
    <w:basedOn w:val="a"/>
    <w:rsid w:val="001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14040D"/>
    <w:rPr>
      <w:rFonts w:ascii="Times New Roman" w:eastAsia="PMingLiU" w:hAnsi="Times New Roman" w:cs="Times New Roman"/>
      <w:sz w:val="24"/>
      <w:szCs w:val="20"/>
      <w:lang w:val="ru-RU" w:eastAsia="zh-TW"/>
    </w:rPr>
  </w:style>
  <w:style w:type="paragraph" w:styleId="a5">
    <w:name w:val="header"/>
    <w:basedOn w:val="a"/>
    <w:link w:val="a6"/>
    <w:unhideWhenUsed/>
    <w:rsid w:val="00F5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559B8"/>
  </w:style>
  <w:style w:type="paragraph" w:styleId="a7">
    <w:name w:val="footer"/>
    <w:basedOn w:val="a"/>
    <w:link w:val="a8"/>
    <w:uiPriority w:val="99"/>
    <w:unhideWhenUsed/>
    <w:rsid w:val="00F5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559B8"/>
  </w:style>
  <w:style w:type="character" w:customStyle="1" w:styleId="10">
    <w:name w:val="Заглавие 1 Знак"/>
    <w:basedOn w:val="a0"/>
    <w:link w:val="1"/>
    <w:uiPriority w:val="9"/>
    <w:rsid w:val="0088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87BE1"/>
    <w:rPr>
      <w:b/>
      <w:bCs/>
    </w:rPr>
  </w:style>
  <w:style w:type="paragraph" w:styleId="aa">
    <w:name w:val="List Paragraph"/>
    <w:basedOn w:val="a"/>
    <w:uiPriority w:val="34"/>
    <w:qFormat/>
    <w:rsid w:val="001D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2019-02-06T06:52:00Z</dcterms:created>
  <dcterms:modified xsi:type="dcterms:W3CDTF">2019-02-06T07:12:00Z</dcterms:modified>
</cp:coreProperties>
</file>